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C9" w:rsidRDefault="002D29C9" w:rsidP="00B64FBE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br/>
      </w:r>
      <w:r w:rsidR="008E347B">
        <w:rPr>
          <w:rFonts w:ascii="微软雅黑" w:eastAsia="微软雅黑" w:hAnsi="微软雅黑" w:hint="eastAsia"/>
          <w:b/>
          <w:sz w:val="52"/>
          <w:szCs w:val="52"/>
        </w:rPr>
        <w:t>E</w:t>
      </w:r>
      <w:r w:rsidR="00642473">
        <w:rPr>
          <w:rFonts w:ascii="微软雅黑" w:eastAsia="微软雅黑" w:hAnsi="微软雅黑" w:hint="eastAsia"/>
          <w:b/>
          <w:sz w:val="52"/>
          <w:szCs w:val="52"/>
        </w:rPr>
        <w:t>MBA</w:t>
      </w:r>
      <w:r w:rsidR="00CA5C0D">
        <w:rPr>
          <w:rFonts w:ascii="微软雅黑" w:eastAsia="微软雅黑" w:hAnsi="微软雅黑" w:hint="eastAsia"/>
          <w:b/>
          <w:sz w:val="52"/>
          <w:szCs w:val="52"/>
        </w:rPr>
        <w:t>（</w:t>
      </w:r>
      <w:r w:rsidR="00C92850">
        <w:rPr>
          <w:rFonts w:ascii="微软雅黑" w:eastAsia="微软雅黑" w:hAnsi="微软雅黑" w:hint="eastAsia"/>
          <w:b/>
          <w:sz w:val="52"/>
          <w:szCs w:val="52"/>
        </w:rPr>
        <w:t>工商管理</w:t>
      </w:r>
      <w:r w:rsidR="00CA5C0D">
        <w:rPr>
          <w:rFonts w:ascii="微软雅黑" w:eastAsia="微软雅黑" w:hAnsi="微软雅黑" w:hint="eastAsia"/>
          <w:b/>
          <w:sz w:val="52"/>
          <w:szCs w:val="52"/>
        </w:rPr>
        <w:t>）</w:t>
      </w:r>
      <w:r w:rsidR="00642473">
        <w:rPr>
          <w:rFonts w:ascii="微软雅黑" w:eastAsia="微软雅黑" w:hAnsi="微软雅黑" w:hint="eastAsia"/>
          <w:b/>
          <w:sz w:val="52"/>
          <w:szCs w:val="52"/>
        </w:rPr>
        <w:t>研修班</w:t>
      </w:r>
    </w:p>
    <w:p w:rsidR="00B64FBE" w:rsidRPr="00B64FBE" w:rsidRDefault="00B64FBE" w:rsidP="00B64FBE">
      <w:pPr>
        <w:jc w:val="center"/>
      </w:pPr>
    </w:p>
    <w:p w:rsidR="002D29C9" w:rsidRDefault="00B64FBE" w:rsidP="00B64FBE">
      <w:pPr>
        <w:jc w:val="center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inline distT="0" distB="0" distL="0" distR="0">
            <wp:extent cx="5274310" cy="2834942"/>
            <wp:effectExtent l="19050" t="0" r="2540" b="0"/>
            <wp:docPr id="2" name="图片 1" descr="C:\DOCUME~1\ADMINI~1\LOCALS~1\Temp\WeChat Files\66ef1f0bfaf3dbe591fb4ac94a49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WeChat Files\66ef1f0bfaf3dbe591fb4ac94a49a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8A2" w:rsidRDefault="002D29C9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 </w:t>
      </w:r>
      <w:r w:rsidR="00642473">
        <w:rPr>
          <w:rFonts w:ascii="微软雅黑" w:eastAsia="微软雅黑" w:hAnsi="微软雅黑" w:hint="eastAsia"/>
          <w:spacing w:val="20"/>
          <w:szCs w:val="21"/>
        </w:rPr>
        <w:t>作为转型经济和新兴市场的中国，市场环境的复杂程度是世界商业史上罕见的，这给中国企业的管理者提出了前所未有的巨大挑战。《论语》把人分为生而知之者、学而知之者、困而学之者、困而不学者几大类。在这样的经营环境中，期待能成为生而知之者，是不现实的。北大</w:t>
      </w:r>
      <w:r w:rsidR="008E347B">
        <w:rPr>
          <w:rFonts w:ascii="微软雅黑" w:eastAsia="微软雅黑" w:hAnsi="微软雅黑" w:hint="eastAsia"/>
          <w:spacing w:val="20"/>
          <w:szCs w:val="21"/>
        </w:rPr>
        <w:t>E</w:t>
      </w:r>
      <w:r w:rsidR="00642473">
        <w:rPr>
          <w:rFonts w:ascii="微软雅黑" w:eastAsia="微软雅黑" w:hAnsi="微软雅黑" w:hint="eastAsia"/>
          <w:spacing w:val="20"/>
          <w:szCs w:val="21"/>
        </w:rPr>
        <w:t>MBA面向实践中的管理者，不管是学而知之者还是困而学之者，他们都是认识到了管理学习对企业发展的长远价值的智者，也必将从</w:t>
      </w:r>
      <w:r w:rsidR="008E347B">
        <w:rPr>
          <w:rFonts w:ascii="微软雅黑" w:eastAsia="微软雅黑" w:hAnsi="微软雅黑" w:hint="eastAsia"/>
          <w:spacing w:val="20"/>
          <w:szCs w:val="21"/>
        </w:rPr>
        <w:t>E</w:t>
      </w:r>
      <w:r w:rsidR="00642473">
        <w:rPr>
          <w:rFonts w:ascii="微软雅黑" w:eastAsia="微软雅黑" w:hAnsi="微软雅黑" w:hint="eastAsia"/>
          <w:spacing w:val="20"/>
          <w:szCs w:val="21"/>
        </w:rPr>
        <w:t>MBA课程中获得他们期望的回报。</w:t>
      </w:r>
    </w:p>
    <w:p w:rsidR="00A728A2" w:rsidRDefault="00642473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 担任企业中高层管理者，对个人的职业生涯意义显著；能否胜任，对企业的生存和永续发展举足轻重。激烈竞争的年代需要稳健扎实的企业，更呼唤高度职业化的领军人物，尤其是善于思考并能未雨绸缪的管理者。没有人生而知之，更没有人一蹴而就，优秀的管理者应正视管理的复杂性，并能够系统地进行思考与发现，通过沉淀与创造性思考，超越复杂，把握正确的方向，最终找到清晰、可行、有效的应对之道，而不只是疲于应付，被动出招。</w:t>
      </w:r>
    </w:p>
    <w:p w:rsidR="00A728A2" w:rsidRDefault="00642473" w:rsidP="002D29C9">
      <w:pPr>
        <w:spacing w:line="42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 xml:space="preserve">  </w:t>
      </w:r>
      <w:r w:rsidR="00BE1A37">
        <w:rPr>
          <w:rFonts w:ascii="微软雅黑" w:eastAsia="微软雅黑" w:hAnsi="微软雅黑" w:hint="eastAsia"/>
          <w:spacing w:val="20"/>
          <w:szCs w:val="21"/>
        </w:rPr>
        <w:t xml:space="preserve"> </w:t>
      </w:r>
      <w:r>
        <w:rPr>
          <w:rFonts w:ascii="微软雅黑" w:eastAsia="微软雅黑" w:hAnsi="微软雅黑" w:hint="eastAsia"/>
          <w:spacing w:val="20"/>
          <w:szCs w:val="21"/>
        </w:rPr>
        <w:t>作为北大北丰最具特色的旗舰课程之一，</w:t>
      </w:r>
      <w:r w:rsidR="008E347B">
        <w:rPr>
          <w:rFonts w:ascii="微软雅黑" w:eastAsia="微软雅黑" w:hAnsi="微软雅黑" w:hint="eastAsia"/>
          <w:spacing w:val="20"/>
          <w:szCs w:val="21"/>
        </w:rPr>
        <w:t>E</w:t>
      </w:r>
      <w:r>
        <w:rPr>
          <w:rFonts w:ascii="微软雅黑" w:eastAsia="微软雅黑" w:hAnsi="微软雅黑" w:hint="eastAsia"/>
          <w:spacing w:val="20"/>
          <w:szCs w:val="21"/>
        </w:rPr>
        <w:t>MBA</w:t>
      </w:r>
      <w:r w:rsidR="00C92850">
        <w:rPr>
          <w:rFonts w:ascii="微软雅黑" w:eastAsia="微软雅黑" w:hAnsi="微软雅黑" w:hint="eastAsia"/>
          <w:spacing w:val="20"/>
          <w:szCs w:val="21"/>
        </w:rPr>
        <w:t>（工商管理）</w:t>
      </w:r>
      <w:r>
        <w:rPr>
          <w:rFonts w:ascii="微软雅黑" w:eastAsia="微软雅黑" w:hAnsi="微软雅黑" w:hint="eastAsia"/>
          <w:spacing w:val="20"/>
          <w:szCs w:val="21"/>
        </w:rPr>
        <w:t>课程专为高速成长的成功企业的总经理，以及集团公司中高层管理者设计。</w:t>
      </w:r>
      <w:r w:rsidR="008E347B">
        <w:rPr>
          <w:rFonts w:ascii="微软雅黑" w:eastAsia="微软雅黑" w:hAnsi="微软雅黑" w:hint="eastAsia"/>
          <w:spacing w:val="20"/>
          <w:szCs w:val="21"/>
        </w:rPr>
        <w:t>2019</w:t>
      </w:r>
      <w:r>
        <w:rPr>
          <w:rFonts w:ascii="微软雅黑" w:eastAsia="微软雅黑" w:hAnsi="微软雅黑" w:hint="eastAsia"/>
          <w:spacing w:val="20"/>
          <w:szCs w:val="21"/>
        </w:rPr>
        <w:t>年</w:t>
      </w:r>
      <w:r w:rsidR="008E347B">
        <w:rPr>
          <w:rFonts w:ascii="微软雅黑" w:eastAsia="微软雅黑" w:hAnsi="微软雅黑" w:hint="eastAsia"/>
          <w:spacing w:val="20"/>
          <w:szCs w:val="21"/>
        </w:rPr>
        <w:t>E</w:t>
      </w:r>
      <w:r>
        <w:rPr>
          <w:rFonts w:ascii="微软雅黑" w:eastAsia="微软雅黑" w:hAnsi="微软雅黑" w:hint="eastAsia"/>
          <w:spacing w:val="20"/>
          <w:szCs w:val="21"/>
        </w:rPr>
        <w:t>MBA</w:t>
      </w:r>
      <w:r w:rsidR="00C92850">
        <w:rPr>
          <w:rFonts w:ascii="微软雅黑" w:eastAsia="微软雅黑" w:hAnsi="微软雅黑" w:hint="eastAsia"/>
          <w:spacing w:val="20"/>
          <w:szCs w:val="21"/>
        </w:rPr>
        <w:t>（工商管理）</w:t>
      </w:r>
      <w:r>
        <w:rPr>
          <w:rFonts w:ascii="微软雅黑" w:eastAsia="微软雅黑" w:hAnsi="微软雅黑" w:hint="eastAsia"/>
          <w:spacing w:val="20"/>
          <w:szCs w:val="21"/>
        </w:rPr>
        <w:t>课程全面升级，紧密契合企业高层不断升级的学习需求，帮助学员更清晰地认识企业职业</w:t>
      </w:r>
      <w:r w:rsidR="00B51B73">
        <w:rPr>
          <w:rFonts w:ascii="微软雅黑" w:eastAsia="微软雅黑" w:hAnsi="微软雅黑" w:hint="eastAsia"/>
          <w:spacing w:val="20"/>
          <w:szCs w:val="21"/>
        </w:rPr>
        <w:t>管理者</w:t>
      </w:r>
      <w:r>
        <w:rPr>
          <w:rFonts w:ascii="微软雅黑" w:eastAsia="微软雅黑" w:hAnsi="微软雅黑" w:hint="eastAsia"/>
          <w:spacing w:val="20"/>
          <w:szCs w:val="21"/>
        </w:rPr>
        <w:t>的特殊角色，全方位提升框架理论与综合管理能力。</w:t>
      </w:r>
    </w:p>
    <w:p w:rsidR="00A728A2" w:rsidRDefault="00642473">
      <w:pPr>
        <w:spacing w:line="500" w:lineRule="exact"/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【课程体系】</w:t>
      </w:r>
    </w:p>
    <w:tbl>
      <w:tblPr>
        <w:tblStyle w:val="a6"/>
        <w:tblW w:w="9215" w:type="dxa"/>
        <w:tblInd w:w="-318" w:type="dxa"/>
        <w:tblLayout w:type="fixed"/>
        <w:tblLook w:val="04A0"/>
      </w:tblPr>
      <w:tblGrid>
        <w:gridCol w:w="4607"/>
        <w:gridCol w:w="4608"/>
      </w:tblGrid>
      <w:tr w:rsidR="00A728A2" w:rsidTr="00A728A2">
        <w:trPr>
          <w:cnfStyle w:val="100000000000"/>
          <w:trHeight w:val="402"/>
        </w:trPr>
        <w:tc>
          <w:tcPr>
            <w:tcW w:w="9215" w:type="dxa"/>
            <w:gridSpan w:val="2"/>
          </w:tcPr>
          <w:p w:rsidR="00A728A2" w:rsidRDefault="00642473" w:rsidP="002D29C9">
            <w:pPr>
              <w:spacing w:line="450" w:lineRule="exact"/>
              <w:outlineLvl w:val="0"/>
              <w:rPr>
                <w:rFonts w:ascii="微软雅黑" w:eastAsia="微软雅黑" w:hAnsi="微软雅黑"/>
                <w:b w:val="0"/>
                <w:bCs w:val="0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一、</w:t>
            </w:r>
            <w:r w:rsidR="008E347B"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E</w:t>
            </w:r>
            <w:r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MBA核心课程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第一模块：《人力资源管理》——人力资源管理与公司绩效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人力资源体系与战略价值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企业人才选、用、育、留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MBO、KPI与平衡记分卡  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知识经济与企业智力资本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岗位设计与薪酬体系设计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绩效反馈辅导评估与激励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第二模块：《公司财务管理》——财务思维与投融资决策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企业报表分析与业绩分析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成本管控战略与价值创造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财务杠杆运用及风险管控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基于利润中心的财务管理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企业战略地图与流程优化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非财务经理的财务基本功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第三模块：《企业运营管理》——精益管理思想与本土运用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企业运营管理的决策领域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顾客导向的企业运营战略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差异化战略与核心竞争力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生产运营与业务流程优化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品质控制与全面质量管理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物联网与柔性供应链管理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第四模块：《现代公司治理》——公司治理与组织变革管理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人财物的组织与治理结构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企业管理组织与架构设计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企业战略定位与商业模式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企业生命周期与外部环境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企业愿景、使命、价值观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转型升级与组织变革管理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第五模块：《市场营销学》——市场营销策略与品牌塑造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全民媒体时代的营销策略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物联网、网络与整合营销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销售渠道建设与终端管理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解决方案销售与服务营销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营销组织设计与市场规划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广告策划与本土品牌案例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第六模块：《组织行为学》——卓越领导力与高效执行力</w:t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组织行为学与管理心理学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领导权变与沟通激励艺术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组织冲突管理与群体决策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水平思维训练与情景领导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激励、授权艺术与执行力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高效团队与企业文化建设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第七模块：《公司战略学》——战略思维与竞争优势锻造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企业外部环境与内部资源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2. 企业资源配置与战略取舍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企业战略计划、模式、计谋、定位、观念与4C模型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凝聚人心、整合价值链、专注核心与培养核心竞争力</w:t>
            </w:r>
          </w:p>
        </w:tc>
      </w:tr>
      <w:tr w:rsidR="00A728A2" w:rsidTr="00A728A2">
        <w:trPr>
          <w:trHeight w:val="514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lastRenderedPageBreak/>
              <w:t>第八模块：《管理经济学》——市场经济与现代商业智慧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14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市场供求关系及弹性理论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成本利润关系与行业规律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市场结构与企业竞争策略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目标市场细分与定价策略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博弈论与竟合关系管理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长三角企业转型升级路径</w:t>
            </w:r>
          </w:p>
        </w:tc>
      </w:tr>
      <w:tr w:rsidR="00A728A2" w:rsidTr="00A728A2">
        <w:trPr>
          <w:trHeight w:val="338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BFBFBF" w:themeFill="background1" w:themeFillShade="BF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二、</w:t>
            </w:r>
            <w:r w:rsidR="008E347B"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E</w:t>
            </w: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 xml:space="preserve">MBA领导力与执行力  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第一模块：经理人职业化思维模式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垂直思维与水平思维比较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水平思维方式训练与应用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心智模式与教练技术应用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卓越教练式管理者的修炼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第二模块：高情商沟通与影响力塑造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沟通的常见障碍与误区 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准确高效的高情商沟通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管理者的影响力与气场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五级经理人的成长体系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第三模块：情景领导</w:t>
            </w: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提升领导力的三个渠道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领导风格与员工发展阶段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领导的层次与情景模型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领导绩效系统与行动指南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B6139C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</w:t>
            </w:r>
            <w:r w:rsidR="00642473"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模块：授权与柔性激励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柔性激励--有心动而行动 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柔性激励体系的建设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绩效考核中常见陷阱规避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组织持续的卓越绩效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B6139C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</w:t>
            </w:r>
            <w:r w:rsidR="00642473"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模块：心理学在管理中的应用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管理学心理学与人本管理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管理决策与心理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权利与影响、领导与执行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组织行为与激励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B6139C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</w:t>
            </w:r>
            <w:r w:rsidR="00642473"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模块：公众演讲与影响力提升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公众演讲表达范式与技巧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会议主持点评总结发言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演讲与个人演讲风格开发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如何提升自信树立威信</w:t>
            </w:r>
          </w:p>
        </w:tc>
      </w:tr>
      <w:tr w:rsidR="00A728A2" w:rsidTr="00A728A2">
        <w:trPr>
          <w:trHeight w:val="53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B6139C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第七</w:t>
            </w:r>
            <w:r w:rsidR="00642473"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模块：项目管理</w:t>
            </w:r>
          </w:p>
        </w:tc>
      </w:tr>
      <w:tr w:rsidR="00A728A2" w:rsidTr="00A728A2">
        <w:trPr>
          <w:trHeight w:val="53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项目策划与工作分解结构 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2. 任务分解与目标管理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 xml:space="preserve">3. 项目管理的实用方法工具  </w:t>
            </w:r>
          </w:p>
          <w:p w:rsidR="00A728A2" w:rsidRDefault="00642473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lastRenderedPageBreak/>
              <w:t>4. 项目经理的关键素质</w:t>
            </w:r>
          </w:p>
          <w:p w:rsidR="00B6139C" w:rsidRDefault="00B6139C" w:rsidP="002D29C9">
            <w:pPr>
              <w:spacing w:line="450" w:lineRule="exact"/>
              <w:ind w:firstLineChars="17" w:firstLine="34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</w:p>
        </w:tc>
      </w:tr>
      <w:tr w:rsidR="00A728A2" w:rsidTr="00A728A2">
        <w:trPr>
          <w:trHeight w:val="491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A6A6A6" w:themeFill="background1" w:themeFillShade="A6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lastRenderedPageBreak/>
              <w:t>三、</w:t>
            </w:r>
            <w:r w:rsidR="008E347B"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E</w:t>
            </w: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MBA热点实战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第一模块：核心团队建设与关键人才管理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企业内部人才选拔标准的提炼与分析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企业人才测评技术的具体运用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面试技巧、潜质评估及薪酬谈判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高效核心团队的角色分工及互补策略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企业留人机制及宽带工资制度的运用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第二模块：企业文化与学习型组织建设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企业规章、性格、文化的提炼与表达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企业共同愿景、使命、价值观的构建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企业文化品牌、视觉形象设计与表达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学习型组织建设与企业人才培养体系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第三模块：高效管理沟通与商务谈判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1. 管理心理学与群体沟通艺术  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对上对下与跨部门沟通艺术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 xml:space="preserve">3. 谈判高手的常用技法与反制 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职场、商场、官场沟通技巧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商务谈判的步骤、策略技巧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商务谈判分组模拟点评总结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第四模块：销售队伍建设与大客户业务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市场竞争策略定制与市场规划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效率性、效能型销售团队组建与考核、激励模式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产品组合策略及新产品上市管理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服务营销创新与客户关系深度经营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销售队伍的日常管理指标考核制度设计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第五模块：危机管理与新闻媒体应对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议题处理与舆论危机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企业危机预警机制及危机管理体系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企业危机管理的落实与考核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如何应对社会媒体采访及做好后续处理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典型企业突发事件的处理案例分析</w:t>
            </w:r>
          </w:p>
        </w:tc>
      </w:tr>
      <w:tr w:rsidR="00A728A2" w:rsidTr="00A728A2">
        <w:trPr>
          <w:trHeight w:val="546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第六模块：时间管理</w:t>
            </w:r>
          </w:p>
        </w:tc>
      </w:tr>
      <w:tr w:rsidR="00A728A2" w:rsidTr="00A728A2">
        <w:trPr>
          <w:trHeight w:val="546"/>
        </w:trPr>
        <w:tc>
          <w:tcPr>
            <w:tcW w:w="4607" w:type="dxa"/>
            <w:tcBorders>
              <w:top w:val="single" w:sz="18" w:space="0" w:color="FFFFFF"/>
              <w:bottom w:val="single" w:sz="18" w:space="0" w:color="FFFFFF"/>
              <w:right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时间的统计、阐述与时间管理的沿革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时间管理的绝招--衣橱整理法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时间管理中如何处理各方面的干扰</w:t>
            </w:r>
          </w:p>
        </w:tc>
        <w:tc>
          <w:tcPr>
            <w:tcW w:w="4608" w:type="dxa"/>
            <w:tcBorders>
              <w:top w:val="single" w:sz="18" w:space="0" w:color="FFFFFF"/>
              <w:left w:val="nil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时间管理的10大杀手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如何处理好“西瓜”与“芝麻”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6. 四象限时间管理法的实际应用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  <w:p w:rsidR="00B6139C" w:rsidRDefault="00B6139C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</w:p>
        </w:tc>
      </w:tr>
      <w:tr w:rsidR="00A728A2" w:rsidTr="00A728A2">
        <w:trPr>
          <w:trHeight w:val="434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CCCCCC"/>
          </w:tcPr>
          <w:p w:rsidR="00A728A2" w:rsidRDefault="00642473" w:rsidP="002D29C9">
            <w:pPr>
              <w:spacing w:line="450" w:lineRule="exact"/>
              <w:outlineLvl w:val="0"/>
              <w:rPr>
                <w:rFonts w:ascii="微软雅黑" w:eastAsia="微软雅黑" w:hAnsi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lastRenderedPageBreak/>
              <w:t>四、</w:t>
            </w:r>
            <w:r w:rsidR="008E347B"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E</w:t>
            </w: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MBA特色讲座</w:t>
            </w: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ab/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第一模块：互联网思维、趋势与应用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取势--基于云计算、大数据的全新商业模式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优术--网络营销十八般武器：微营销、事件营销...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br/>
              <w:t>3. 明道--网络传播方式、消费行为、营销手段和创新路径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第二模块：中小企业商业模式创新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股东关系与企业永续经营--股东权益、债权人权益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公司治理结构与资本运作模式--创新融资模式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中小企业盈利能力提升的路径--开源节流的设计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商业模式设计与创新--现金流、融资、税负与政策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盈利模式与核心竞争力--定位与核心竞争力的塑造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第三模块：国际国内宏观经济形势与趋势分析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全球政治局势与热点问题走向及其影响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全球金融局势与各主要经济体的货币政策观察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新一届政府经济改革措施、力度、广度分析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影响企业发展的未来中国社会经济大趋势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5. 中国民营企业未来发展机遇与战略布局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第四模块：企业品牌战略定位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品牌战略定位：品牌个性、延伸/老化创新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品牌战略团队：价值观整合与品牌管理技巧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品牌战略要素：设计、注册、个性、识别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整合营销传播：价值链整合与品牌策划实战案例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0"/>
                <w:szCs w:val="21"/>
              </w:rPr>
              <w:t>第五模块：中小企业法律风险防范</w:t>
            </w:r>
          </w:p>
        </w:tc>
      </w:tr>
      <w:tr w:rsidR="00A728A2" w:rsidTr="00A728A2">
        <w:trPr>
          <w:trHeight w:val="510"/>
        </w:trPr>
        <w:tc>
          <w:tcPr>
            <w:tcW w:w="9215" w:type="dxa"/>
            <w:gridSpan w:val="2"/>
            <w:tcBorders>
              <w:top w:val="single" w:sz="18" w:space="0" w:color="FFFFFF"/>
              <w:bottom w:val="nil"/>
              <w:tl2br w:val="nil"/>
              <w:tr2bl w:val="nil"/>
            </w:tcBorders>
            <w:shd w:val="clear" w:color="auto" w:fill="F2F2F2"/>
          </w:tcPr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1. 纳税人法律风险与应对策略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2. 企业资本运作常见法律风险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3. 大陆港澳比价税法与合同法</w:t>
            </w:r>
          </w:p>
          <w:p w:rsidR="00A728A2" w:rsidRDefault="00642473" w:rsidP="002D29C9">
            <w:pPr>
              <w:spacing w:line="450" w:lineRule="exact"/>
              <w:rPr>
                <w:rFonts w:ascii="微软雅黑" w:eastAsia="微软雅黑" w:hAnsi="微软雅黑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>4. 全媒体时代的企业公关危机</w:t>
            </w:r>
            <w:r>
              <w:rPr>
                <w:rFonts w:ascii="微软雅黑" w:eastAsia="微软雅黑" w:hAnsi="微软雅黑" w:hint="eastAsia"/>
                <w:kern w:val="0"/>
                <w:sz w:val="20"/>
                <w:szCs w:val="21"/>
              </w:rPr>
              <w:tab/>
            </w:r>
          </w:p>
        </w:tc>
      </w:tr>
    </w:tbl>
    <w:p w:rsidR="00B6139C" w:rsidRDefault="00B6139C">
      <w:pPr>
        <w:ind w:leftChars="-202" w:left="-424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A728A2" w:rsidRDefault="00642473">
      <w:pPr>
        <w:ind w:leftChars="-202" w:left="-424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【部分师资】</w:t>
      </w: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194310</wp:posOffset>
            </wp:positionV>
            <wp:extent cx="962025" cy="1344872"/>
            <wp:effectExtent l="57150" t="19050" r="85725" b="64828"/>
            <wp:wrapNone/>
            <wp:docPr id="3" name="图片 2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44872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306.85pt;margin-top:11.6pt;width:148.85pt;height:108.45pt;z-index:251675648;mso-position-horizontal-relative:text;mso-position-vertical-relative:text;mso-width-relative:margin;mso-height-relative:margin" filled="f" stroked="f">
            <v:textbox style="mso-next-textbox:#_x0000_s2062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李玲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北大健康发展研究中心主任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184785</wp:posOffset>
            </wp:positionV>
            <wp:extent cx="998855" cy="1389380"/>
            <wp:effectExtent l="57150" t="19050" r="67945" b="58420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38938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61" type="#_x0000_t202" style="position:absolute;margin-left:54.7pt;margin-top:13.95pt;width:149.6pt;height:97.2pt;z-index:251674624;mso-height-percent:200;mso-position-horizontal-relative:text;mso-position-vertical-relative:text;mso-height-percent:200;mso-width-relative:margin;mso-height-relative:margin" filled="f" stroked="f">
            <v:textbox style="mso-next-textbox:#_x0000_s2061;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宫玉振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中国著名战略与管理专家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142875</wp:posOffset>
            </wp:positionV>
            <wp:extent cx="1000125" cy="1392555"/>
            <wp:effectExtent l="57150" t="19050" r="85725" b="55245"/>
            <wp:wrapNone/>
            <wp:docPr id="5" name="图片 4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9255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133350</wp:posOffset>
            </wp:positionV>
            <wp:extent cx="994410" cy="1390650"/>
            <wp:effectExtent l="57150" t="19050" r="72390" b="57150"/>
            <wp:wrapNone/>
            <wp:docPr id="6" name="图片 5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3906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66" type="#_x0000_t202" style="position:absolute;margin-left:306.2pt;margin-top:18.3pt;width:149.6pt;height:97.2pt;z-index:2516797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廖建桥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华科大管理学院副院长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全国EMBA“十佳”教授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</w:p>
              </w:txbxContent>
            </v:textbox>
          </v:shape>
        </w:pict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65" type="#_x0000_t202" style="position:absolute;margin-left:53.2pt;margin-top:17.5pt;width:149.6pt;height:97.2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张延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北大MBA教授会成员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8F0D29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196215</wp:posOffset>
            </wp:positionV>
            <wp:extent cx="981075" cy="1362075"/>
            <wp:effectExtent l="57150" t="19050" r="85725" b="66675"/>
            <wp:wrapNone/>
            <wp:docPr id="9" name="图片 8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20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42473"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167640</wp:posOffset>
            </wp:positionV>
            <wp:extent cx="1039495" cy="1447800"/>
            <wp:effectExtent l="57150" t="19050" r="84455" b="57150"/>
            <wp:wrapNone/>
            <wp:docPr id="17" name="图片 16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霍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4478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70" type="#_x0000_t202" style="position:absolute;margin-left:307.6pt;margin-top:13pt;width:149.6pt;height:97.2pt;z-index:2516838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贾虎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华南理工大学管理学博士；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中国注册会计师，国际会计师（AIA）；</w:t>
                  </w:r>
                </w:p>
              </w:txbxContent>
            </v:textbox>
          </v:shape>
        </w:pict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69" type="#_x0000_t202" style="position:absolute;margin-left:53.2pt;margin-top:13.5pt;width:149.6pt;height:111.8pt;z-index:251682816;mso-position-horizontal-relative:text;mso-position-vertical-relative:text;mso-width-relative:margin;mso-height-relative:margin" filled="f" stroked="f">
            <v:textbox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薛兆丰 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北京大学国家发展研究院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北京大学法律经济学研究中心联席主任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 w:rsidP="008F0D29">
      <w:pPr>
        <w:ind w:leftChars="100" w:left="210"/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051058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182879</wp:posOffset>
            </wp:positionV>
            <wp:extent cx="964772" cy="1343025"/>
            <wp:effectExtent l="57150" t="19050" r="82978" b="66675"/>
            <wp:wrapNone/>
            <wp:docPr id="10" name="图片 9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772" cy="13430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F0D29"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211455</wp:posOffset>
            </wp:positionV>
            <wp:extent cx="944245" cy="1314450"/>
            <wp:effectExtent l="57150" t="19050" r="84455" b="57150"/>
            <wp:wrapNone/>
            <wp:docPr id="8" name="图片 7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3144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73" type="#_x0000_t202" style="position:absolute;margin-left:54.7pt;margin-top:18.3pt;width:149.6pt;height:79.2pt;z-index:2516869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何小锋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 教授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博士生导师</w:t>
                  </w:r>
                </w:p>
              </w:txbxContent>
            </v:textbox>
          </v:shape>
        </w:pict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74" type="#_x0000_t202" style="position:absolute;margin-left:306.1pt;margin-top:18.05pt;width:149.6pt;height:79.2pt;z-index:251687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张亚光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 副院长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博士生导师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051058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112395</wp:posOffset>
            </wp:positionV>
            <wp:extent cx="933450" cy="1304925"/>
            <wp:effectExtent l="57150" t="19050" r="76200" b="66675"/>
            <wp:wrapNone/>
            <wp:docPr id="7" name="图片 6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0492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150495</wp:posOffset>
            </wp:positionV>
            <wp:extent cx="968375" cy="1352550"/>
            <wp:effectExtent l="57150" t="19050" r="79375" b="57150"/>
            <wp:wrapNone/>
            <wp:docPr id="11" name="图片 1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剑桥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3525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78" type="#_x0000_t202" style="position:absolute;margin-left:307.15pt;margin-top:9.15pt;width:149.6pt;height:91.15pt;z-index:251692032;mso-position-horizontal-relative:text;mso-position-vertical-relative:text;mso-width-relative:margin;mso-height-relative:margin" filled="f" stroked="f">
            <v:textbox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路长全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北大经济学院 特聘讲师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伊利集团 原副总裁</w:t>
                  </w:r>
                </w:p>
              </w:txbxContent>
            </v:textbox>
          </v:shape>
        </w:pict>
      </w:r>
      <w:r w:rsidR="00682D2C">
        <w:rPr>
          <w:rFonts w:ascii="微软雅黑" w:eastAsia="微软雅黑" w:hAnsi="微软雅黑"/>
          <w:spacing w:val="20"/>
          <w:sz w:val="24"/>
          <w:szCs w:val="24"/>
        </w:rPr>
        <w:pict>
          <v:shape id="_x0000_s2077" type="#_x0000_t202" style="position:absolute;margin-left:56.2pt;margin-top:12.65pt;width:149.6pt;height:97.2pt;z-index:25169100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刘红松</w:t>
                  </w:r>
                </w:p>
                <w:p w:rsidR="00A728A2" w:rsidRDefault="00A728A2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北大经济学院EDP特聘讲师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实战派沙盘培训师</w:t>
                  </w:r>
                </w:p>
                <w:p w:rsidR="00A728A2" w:rsidRDefault="00642473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沙盘研究专家</w:t>
                  </w:r>
                </w:p>
              </w:txbxContent>
            </v:textbox>
          </v:shape>
        </w:pict>
      </w: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A728A2" w:rsidRDefault="00A728A2">
      <w:pPr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【招生对象】</w:t>
      </w:r>
    </w:p>
    <w:p w:rsidR="00A728A2" w:rsidRDefault="00642473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企业董事长、CEO、人力资源总监等企业高管；上市公司和拟上市公司的高层管理者； 控股公司/集团公司高层管理人员；</w:t>
      </w:r>
    </w:p>
    <w:p w:rsidR="00A728A2" w:rsidRDefault="00A728A2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【学习安排】</w:t>
      </w:r>
    </w:p>
    <w:p w:rsidR="00A728A2" w:rsidRDefault="00D6196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学制一年，每</w:t>
      </w:r>
      <w:r w:rsidR="00642473">
        <w:rPr>
          <w:rFonts w:ascii="微软雅黑" w:eastAsia="微软雅黑" w:hAnsi="微软雅黑" w:hint="eastAsia"/>
          <w:spacing w:val="20"/>
          <w:szCs w:val="21"/>
        </w:rPr>
        <w:t>月集中授课</w:t>
      </w:r>
      <w:r w:rsidR="002173C2">
        <w:rPr>
          <w:rFonts w:ascii="微软雅黑" w:eastAsia="微软雅黑" w:hAnsi="微软雅黑" w:hint="eastAsia"/>
          <w:spacing w:val="20"/>
          <w:szCs w:val="21"/>
        </w:rPr>
        <w:t>2</w:t>
      </w:r>
      <w:r w:rsidR="00642473">
        <w:rPr>
          <w:rFonts w:ascii="微软雅黑" w:eastAsia="微软雅黑" w:hAnsi="微软雅黑" w:hint="eastAsia"/>
          <w:spacing w:val="20"/>
          <w:szCs w:val="21"/>
        </w:rPr>
        <w:t>天</w:t>
      </w:r>
    </w:p>
    <w:p w:rsidR="00A728A2" w:rsidRDefault="00A728A2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A728A2" w:rsidRDefault="00642473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【学习费用】</w:t>
      </w:r>
    </w:p>
    <w:p w:rsidR="00A728A2" w:rsidRDefault="00642473" w:rsidP="00C658F7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RMB 2</w:t>
      </w:r>
      <w:r w:rsidR="00D61961">
        <w:rPr>
          <w:rFonts w:ascii="微软雅黑" w:eastAsia="微软雅黑" w:hAnsi="微软雅黑" w:hint="eastAsia"/>
          <w:spacing w:val="20"/>
          <w:szCs w:val="21"/>
        </w:rPr>
        <w:t>.98</w:t>
      </w:r>
      <w:r>
        <w:rPr>
          <w:rFonts w:ascii="微软雅黑" w:eastAsia="微软雅黑" w:hAnsi="微软雅黑" w:hint="eastAsia"/>
          <w:spacing w:val="20"/>
          <w:szCs w:val="21"/>
        </w:rPr>
        <w:t>万元/人（学员学习期间的食宿费、交通费自理）</w:t>
      </w:r>
      <w:bookmarkStart w:id="0" w:name="_GoBack"/>
      <w:bookmarkEnd w:id="0"/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C658F7" w:rsidRPr="00C658F7" w:rsidRDefault="00C658F7" w:rsidP="00C658F7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 w:rsidRPr="00C658F7">
        <w:rPr>
          <w:rFonts w:ascii="微软雅黑" w:eastAsia="微软雅黑" w:hAnsi="微软雅黑" w:hint="eastAsia"/>
          <w:b/>
          <w:spacing w:val="20"/>
          <w:sz w:val="24"/>
          <w:szCs w:val="24"/>
        </w:rPr>
        <w:t>【报名联系】</w:t>
      </w:r>
    </w:p>
    <w:p w:rsidR="00C658F7" w:rsidRP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 w:rsidRPr="00C658F7">
        <w:rPr>
          <w:rFonts w:ascii="微软雅黑" w:eastAsia="微软雅黑" w:hAnsi="微软雅黑" w:hint="eastAsia"/>
          <w:spacing w:val="20"/>
          <w:szCs w:val="21"/>
        </w:rPr>
        <w:t>报名电话：010-51294164、13120255228（微信）</w:t>
      </w:r>
    </w:p>
    <w:p w:rsidR="00C658F7" w:rsidRP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 w:rsidRPr="00C658F7">
        <w:rPr>
          <w:rFonts w:ascii="微软雅黑" w:eastAsia="微软雅黑" w:hAnsi="微软雅黑" w:hint="eastAsia"/>
          <w:spacing w:val="20"/>
          <w:szCs w:val="21"/>
        </w:rPr>
        <w:t>报名邮件：</w:t>
      </w:r>
      <w:r w:rsidR="00DB7B27" w:rsidRPr="00DB7B27">
        <w:rPr>
          <w:rFonts w:ascii="微软雅黑" w:eastAsia="微软雅黑" w:hAnsi="微软雅黑" w:hint="eastAsia"/>
          <w:spacing w:val="20"/>
          <w:szCs w:val="21"/>
        </w:rPr>
        <w:t>pkubiz@126.com</w:t>
      </w:r>
      <w:r w:rsidR="00DB7B27">
        <w:rPr>
          <w:rFonts w:ascii="微软雅黑" w:eastAsia="微软雅黑" w:hAnsi="微软雅黑" w:hint="eastAsia"/>
          <w:spacing w:val="20"/>
          <w:szCs w:val="21"/>
        </w:rPr>
        <w:t xml:space="preserve"> 或</w:t>
      </w:r>
      <w:r w:rsidR="00DB7B27" w:rsidRPr="00DB7B27">
        <w:rPr>
          <w:rFonts w:ascii="微软雅黑" w:eastAsia="微软雅黑" w:hAnsi="微软雅黑"/>
          <w:spacing w:val="20"/>
          <w:szCs w:val="21"/>
        </w:rPr>
        <w:t>496401008@qq.com</w:t>
      </w:r>
    </w:p>
    <w:p w:rsid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 w:rsidRPr="00C658F7">
        <w:rPr>
          <w:rFonts w:ascii="微软雅黑" w:eastAsia="微软雅黑" w:hAnsi="微软雅黑" w:hint="eastAsia"/>
          <w:spacing w:val="20"/>
          <w:szCs w:val="21"/>
        </w:rPr>
        <w:t>联系人：梁老师</w:t>
      </w:r>
    </w:p>
    <w:p w:rsid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 w:rsidRPr="00C658F7">
        <w:rPr>
          <w:rFonts w:ascii="微软雅黑" w:eastAsia="微软雅黑" w:hAnsi="微软雅黑" w:hint="eastAsia"/>
          <w:b/>
          <w:spacing w:val="20"/>
          <w:sz w:val="24"/>
          <w:szCs w:val="24"/>
        </w:rPr>
        <w:t>【入学流程】</w:t>
      </w:r>
    </w:p>
    <w:p w:rsidR="00C658F7" w:rsidRPr="00C658F7" w:rsidRDefault="00C658F7" w:rsidP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 w:rsidRPr="00C658F7">
        <w:rPr>
          <w:rFonts w:ascii="微软雅黑" w:eastAsia="微软雅黑" w:hAnsi="微软雅黑" w:hint="eastAsia"/>
          <w:spacing w:val="20"/>
          <w:szCs w:val="21"/>
        </w:rPr>
        <w:t>提交报名表 → 报名审核 → 交纳学费 → 入学通知书 → 报到入学</w:t>
      </w: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C658F7" w:rsidRDefault="00C658F7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804BD9" w:rsidRDefault="00804BD9" w:rsidP="008E347B">
      <w:pPr>
        <w:spacing w:line="400" w:lineRule="exact"/>
        <w:jc w:val="left"/>
        <w:rPr>
          <w:rFonts w:ascii="微软雅黑" w:eastAsia="微软雅黑" w:hAnsi="微软雅黑"/>
          <w:spacing w:val="20"/>
          <w:szCs w:val="21"/>
        </w:rPr>
      </w:pPr>
    </w:p>
    <w:p w:rsidR="008E347B" w:rsidRDefault="008E347B" w:rsidP="008E347B">
      <w:pPr>
        <w:spacing w:line="400" w:lineRule="exact"/>
        <w:jc w:val="left"/>
        <w:rPr>
          <w:rFonts w:ascii="微软雅黑" w:eastAsia="微软雅黑" w:hAnsi="微软雅黑"/>
          <w:spacing w:val="20"/>
          <w:szCs w:val="21"/>
        </w:rPr>
      </w:pPr>
    </w:p>
    <w:p w:rsidR="008E347B" w:rsidRDefault="008E347B" w:rsidP="008E347B">
      <w:pPr>
        <w:spacing w:line="400" w:lineRule="exact"/>
        <w:jc w:val="left"/>
        <w:rPr>
          <w:rFonts w:ascii="微软雅黑" w:eastAsia="微软雅黑" w:hAnsi="微软雅黑"/>
          <w:spacing w:val="20"/>
          <w:szCs w:val="21"/>
        </w:rPr>
      </w:pPr>
    </w:p>
    <w:p w:rsidR="008E347B" w:rsidRDefault="008E347B" w:rsidP="008E347B">
      <w:pPr>
        <w:spacing w:line="400" w:lineRule="exact"/>
        <w:jc w:val="left"/>
        <w:rPr>
          <w:rFonts w:ascii="微软雅黑" w:eastAsia="微软雅黑" w:hAnsi="微软雅黑"/>
          <w:spacing w:val="20"/>
          <w:szCs w:val="21"/>
        </w:rPr>
      </w:pPr>
    </w:p>
    <w:p w:rsidR="00F04910" w:rsidRPr="002849B5" w:rsidRDefault="00D25CFF" w:rsidP="00F04910">
      <w:pPr>
        <w:snapToGrid w:val="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 xml:space="preserve"> </w:t>
      </w:r>
      <w:r w:rsidR="00F04910" w:rsidRPr="002849B5">
        <w:rPr>
          <w:rFonts w:ascii="黑体" w:eastAsia="黑体" w:hint="eastAsia"/>
          <w:b/>
          <w:sz w:val="36"/>
          <w:szCs w:val="36"/>
        </w:rPr>
        <w:t>报 名 登 记 表</w:t>
      </w:r>
    </w:p>
    <w:p w:rsidR="00F04910" w:rsidRPr="00BF6757" w:rsidRDefault="00F04910" w:rsidP="00DB7B27">
      <w:pPr>
        <w:spacing w:beforeLines="50" w:afterLines="25"/>
        <w:rPr>
          <w:sz w:val="18"/>
          <w:szCs w:val="18"/>
          <w:u w:val="single"/>
        </w:rPr>
      </w:pPr>
      <w:r w:rsidRPr="00BF6757">
        <w:rPr>
          <w:rFonts w:hint="eastAsia"/>
          <w:sz w:val="18"/>
          <w:szCs w:val="18"/>
        </w:rPr>
        <w:t>以下信息仅用于录取审核工作</w:t>
      </w:r>
      <w:r w:rsidR="00E429D8">
        <w:rPr>
          <w:rFonts w:hint="eastAsia"/>
          <w:sz w:val="18"/>
          <w:szCs w:val="18"/>
        </w:rPr>
        <w:t>和制作班级同学录</w:t>
      </w:r>
      <w:r w:rsidRPr="00BF6757">
        <w:rPr>
          <w:rFonts w:hint="eastAsia"/>
          <w:sz w:val="18"/>
          <w:szCs w:val="18"/>
        </w:rPr>
        <w:t>，为申请人保密，请</w:t>
      </w:r>
      <w:r w:rsidR="00CC5703">
        <w:rPr>
          <w:rFonts w:hint="eastAsia"/>
          <w:sz w:val="18"/>
          <w:szCs w:val="18"/>
        </w:rPr>
        <w:t>酌情</w:t>
      </w:r>
      <w:r w:rsidRPr="00BF6757">
        <w:rPr>
          <w:rFonts w:hint="eastAsia"/>
          <w:sz w:val="18"/>
          <w:szCs w:val="18"/>
        </w:rPr>
        <w:t>详细填写</w:t>
      </w:r>
      <w:r w:rsidR="00CC5703">
        <w:rPr>
          <w:rFonts w:hint="eastAsia"/>
          <w:sz w:val="18"/>
          <w:szCs w:val="18"/>
        </w:rPr>
        <w:t>（红色必填）</w:t>
      </w:r>
      <w:r w:rsidRPr="00BF6757">
        <w:rPr>
          <w:rFonts w:hint="eastAsia"/>
          <w:sz w:val="18"/>
          <w:szCs w:val="18"/>
        </w:rPr>
        <w:t>。</w:t>
      </w:r>
    </w:p>
    <w:tbl>
      <w:tblPr>
        <w:tblW w:w="9618" w:type="dxa"/>
        <w:tblInd w:w="-3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7"/>
        <w:gridCol w:w="2082"/>
        <w:gridCol w:w="854"/>
        <w:gridCol w:w="83"/>
        <w:gridCol w:w="764"/>
        <w:gridCol w:w="145"/>
        <w:gridCol w:w="422"/>
        <w:gridCol w:w="426"/>
        <w:gridCol w:w="132"/>
        <w:gridCol w:w="12"/>
        <w:gridCol w:w="851"/>
        <w:gridCol w:w="401"/>
        <w:gridCol w:w="46"/>
        <w:gridCol w:w="545"/>
        <w:gridCol w:w="567"/>
        <w:gridCol w:w="971"/>
      </w:tblGrid>
      <w:tr w:rsidR="00F04910" w:rsidTr="005A5551">
        <w:trPr>
          <w:cantSplit/>
          <w:trHeight w:val="363"/>
        </w:trPr>
        <w:tc>
          <w:tcPr>
            <w:tcW w:w="96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rPr>
                <w:rFonts w:ascii="宋体" w:hAnsi="宋体"/>
                <w:sz w:val="24"/>
              </w:rPr>
            </w:pPr>
            <w:r w:rsidRPr="00047FF7">
              <w:rPr>
                <w:rFonts w:hint="eastAsia"/>
                <w:b/>
                <w:sz w:val="24"/>
              </w:rPr>
              <w:t>个人信息</w:t>
            </w:r>
          </w:p>
        </w:tc>
      </w:tr>
      <w:tr w:rsidR="00F04910" w:rsidTr="005A5551">
        <w:trPr>
          <w:cantSplit/>
          <w:trHeight w:val="495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CC5703">
              <w:rPr>
                <w:rFonts w:hint="eastAsia"/>
                <w:color w:val="FF0000"/>
                <w:szCs w:val="21"/>
              </w:rPr>
              <w:t>姓</w:t>
            </w:r>
            <w:r w:rsidRPr="00CC5703">
              <w:rPr>
                <w:color w:val="FF0000"/>
                <w:szCs w:val="21"/>
              </w:rPr>
              <w:t xml:space="preserve">    </w:t>
            </w:r>
            <w:r w:rsidRPr="00CC5703">
              <w:rPr>
                <w:rFonts w:hint="eastAsia"/>
                <w:color w:val="FF0000"/>
                <w:szCs w:val="21"/>
              </w:rPr>
              <w:t>名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CC5703">
              <w:rPr>
                <w:rFonts w:hint="eastAsia"/>
                <w:color w:val="FF0000"/>
                <w:szCs w:val="21"/>
              </w:rPr>
              <w:t>性</w:t>
            </w:r>
            <w:r w:rsidRPr="00CC5703">
              <w:rPr>
                <w:rFonts w:hint="eastAsia"/>
                <w:color w:val="FF0000"/>
                <w:szCs w:val="21"/>
              </w:rPr>
              <w:t xml:space="preserve">    </w:t>
            </w:r>
            <w:r w:rsidRPr="00CC5703">
              <w:rPr>
                <w:rFonts w:hint="eastAsia"/>
                <w:color w:val="FF0000"/>
                <w:szCs w:val="21"/>
              </w:rPr>
              <w:t>别</w:t>
            </w:r>
          </w:p>
        </w:tc>
        <w:tc>
          <w:tcPr>
            <w:tcW w:w="243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照片（2寸）</w:t>
            </w:r>
          </w:p>
        </w:tc>
      </w:tr>
      <w:tr w:rsidR="00F04910" w:rsidTr="005A5551">
        <w:trPr>
          <w:cantSplit/>
          <w:trHeight w:val="478"/>
        </w:trPr>
        <w:tc>
          <w:tcPr>
            <w:tcW w:w="13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CC5703">
              <w:rPr>
                <w:rFonts w:ascii="宋体" w:hAnsi="宋体" w:hint="eastAsia"/>
                <w:color w:val="FF0000"/>
                <w:szCs w:val="21"/>
              </w:rPr>
              <w:t>出生年月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4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047FF7" w:rsidRDefault="00F04910" w:rsidP="005A5551">
            <w:pPr>
              <w:pStyle w:val="xl38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kern w:val="2"/>
                <w:sz w:val="21"/>
                <w:szCs w:val="21"/>
              </w:rPr>
            </w:pPr>
          </w:p>
        </w:tc>
        <w:tc>
          <w:tcPr>
            <w:tcW w:w="208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04910" w:rsidTr="005A5551">
        <w:trPr>
          <w:cantSplit/>
          <w:trHeight w:val="503"/>
        </w:trPr>
        <w:tc>
          <w:tcPr>
            <w:tcW w:w="13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最高学历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43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</w:p>
        </w:tc>
      </w:tr>
      <w:tr w:rsidR="00F04910" w:rsidTr="005A5551">
        <w:trPr>
          <w:cantSplit/>
          <w:trHeight w:val="49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color w:val="FF0000"/>
                <w:szCs w:val="21"/>
              </w:rPr>
            </w:pPr>
            <w:r w:rsidRPr="00CC5703">
              <w:rPr>
                <w:rFonts w:hint="eastAsia"/>
                <w:color w:val="FF0000"/>
                <w:szCs w:val="21"/>
              </w:rPr>
              <w:t>移动电话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CC5703" w:rsidRDefault="00F04910" w:rsidP="005A5551">
            <w:pPr>
              <w:rPr>
                <w:color w:val="FF000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color w:val="FF0000"/>
                <w:szCs w:val="21"/>
              </w:rPr>
            </w:pPr>
            <w:r w:rsidRPr="00CC5703">
              <w:rPr>
                <w:rFonts w:hint="eastAsia"/>
                <w:color w:val="FF0000"/>
                <w:szCs w:val="21"/>
              </w:rPr>
              <w:t>电子邮件</w:t>
            </w:r>
          </w:p>
        </w:tc>
        <w:tc>
          <w:tcPr>
            <w:tcW w:w="2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</w:p>
        </w:tc>
        <w:tc>
          <w:tcPr>
            <w:tcW w:w="208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</w:p>
        </w:tc>
      </w:tr>
      <w:tr w:rsidR="00F04910" w:rsidTr="005A5551">
        <w:trPr>
          <w:cantSplit/>
          <w:trHeight w:val="532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color w:val="FF0000"/>
                <w:szCs w:val="21"/>
              </w:rPr>
            </w:pPr>
            <w:r w:rsidRPr="00CC5703">
              <w:rPr>
                <w:rFonts w:hint="eastAsia"/>
                <w:color w:val="FF0000"/>
                <w:szCs w:val="21"/>
              </w:rPr>
              <w:t>身份证号码</w:t>
            </w:r>
          </w:p>
        </w:tc>
        <w:tc>
          <w:tcPr>
            <w:tcW w:w="8301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Pr="00344490" w:rsidRDefault="00F04910" w:rsidP="005A5551">
            <w:pPr>
              <w:jc w:val="center"/>
              <w:rPr>
                <w:b/>
                <w:sz w:val="24"/>
              </w:rPr>
            </w:pPr>
          </w:p>
        </w:tc>
      </w:tr>
      <w:tr w:rsidR="00F04910" w:rsidTr="008E46C6">
        <w:trPr>
          <w:cantSplit/>
          <w:trHeight w:val="523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</w:t>
            </w:r>
          </w:p>
          <w:p w:rsidR="00F04910" w:rsidRPr="00047FF7" w:rsidRDefault="00F04910" w:rsidP="005A55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344490" w:rsidRDefault="00F04910" w:rsidP="005A5551">
            <w:pPr>
              <w:jc w:val="center"/>
              <w:rPr>
                <w:b/>
                <w:sz w:val="24"/>
              </w:rPr>
            </w:pPr>
            <w:r w:rsidRPr="00344490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 w:val="24"/>
              </w:rPr>
            </w:pPr>
            <w:r w:rsidRPr="00344490">
              <w:rPr>
                <w:rFonts w:hint="eastAsia"/>
                <w:b/>
                <w:sz w:val="24"/>
              </w:rPr>
              <w:t>单位</w:t>
            </w:r>
            <w:r w:rsidR="00CC5703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352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 w:val="24"/>
              </w:rPr>
            </w:pPr>
            <w:r w:rsidRPr="00344490">
              <w:rPr>
                <w:rFonts w:hint="eastAsia"/>
                <w:b/>
                <w:sz w:val="24"/>
              </w:rPr>
              <w:t>主要经历</w:t>
            </w:r>
            <w:r>
              <w:rPr>
                <w:rFonts w:hint="eastAsia"/>
                <w:b/>
                <w:sz w:val="24"/>
              </w:rPr>
              <w:t>（职务）</w:t>
            </w:r>
          </w:p>
        </w:tc>
      </w:tr>
      <w:tr w:rsidR="00F04910" w:rsidTr="005A5551">
        <w:trPr>
          <w:cantSplit/>
          <w:trHeight w:val="465"/>
        </w:trPr>
        <w:tc>
          <w:tcPr>
            <w:tcW w:w="13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b/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cantSplit/>
          <w:trHeight w:val="465"/>
        </w:trPr>
        <w:tc>
          <w:tcPr>
            <w:tcW w:w="13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b/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cantSplit/>
          <w:trHeight w:val="465"/>
        </w:trPr>
        <w:tc>
          <w:tcPr>
            <w:tcW w:w="13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b/>
                <w:sz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cantSplit/>
          <w:trHeight w:val="452"/>
        </w:trPr>
        <w:tc>
          <w:tcPr>
            <w:tcW w:w="9618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10" w:rsidRPr="00047FF7" w:rsidRDefault="00CC5703" w:rsidP="005A555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目前</w:t>
            </w:r>
            <w:r w:rsidR="00F04910" w:rsidRPr="00047FF7">
              <w:rPr>
                <w:rFonts w:hint="eastAsia"/>
                <w:b/>
                <w:sz w:val="24"/>
              </w:rPr>
              <w:t>公司信息</w:t>
            </w:r>
          </w:p>
        </w:tc>
      </w:tr>
      <w:tr w:rsidR="00F04910" w:rsidTr="005A5551">
        <w:trPr>
          <w:trHeight w:val="520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CC5703">
              <w:rPr>
                <w:rFonts w:hint="eastAsia"/>
                <w:b/>
                <w:color w:val="FF0000"/>
                <w:szCs w:val="21"/>
              </w:rPr>
              <w:t>公司名称</w:t>
            </w:r>
          </w:p>
        </w:tc>
        <w:tc>
          <w:tcPr>
            <w:tcW w:w="30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CC5703" w:rsidRDefault="00F04910" w:rsidP="005A5551">
            <w:pPr>
              <w:jc w:val="center"/>
              <w:rPr>
                <w:b/>
                <w:color w:val="FF0000"/>
                <w:szCs w:val="21"/>
              </w:rPr>
            </w:pPr>
            <w:r w:rsidRPr="00CC5703">
              <w:rPr>
                <w:rFonts w:hint="eastAsia"/>
                <w:b/>
                <w:color w:val="FF0000"/>
                <w:szCs w:val="21"/>
              </w:rPr>
              <w:t>职</w:t>
            </w:r>
            <w:r w:rsidRPr="00CC5703"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 w:rsidRPr="00CC5703">
              <w:rPr>
                <w:rFonts w:hint="eastAsia"/>
                <w:b/>
                <w:color w:val="FF0000"/>
                <w:szCs w:val="21"/>
              </w:rPr>
              <w:t>务</w:t>
            </w:r>
          </w:p>
        </w:tc>
        <w:tc>
          <w:tcPr>
            <w:tcW w:w="395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trHeight w:val="523"/>
        </w:trPr>
        <w:tc>
          <w:tcPr>
            <w:tcW w:w="13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  <w:r w:rsidRPr="00047FF7">
              <w:rPr>
                <w:rFonts w:hint="eastAsia"/>
                <w:szCs w:val="21"/>
              </w:rPr>
              <w:t>公司电话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51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trHeight w:val="531"/>
        </w:trPr>
        <w:tc>
          <w:tcPr>
            <w:tcW w:w="13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通信地址</w:t>
            </w:r>
          </w:p>
        </w:tc>
        <w:tc>
          <w:tcPr>
            <w:tcW w:w="4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  <w:r w:rsidRPr="00047FF7">
              <w:rPr>
                <w:rFonts w:hint="eastAsia"/>
                <w:szCs w:val="21"/>
              </w:rPr>
              <w:t>邮</w:t>
            </w:r>
            <w:r w:rsidRPr="00047FF7">
              <w:rPr>
                <w:rFonts w:hint="eastAsia"/>
                <w:szCs w:val="21"/>
              </w:rPr>
              <w:t xml:space="preserve">    </w:t>
            </w:r>
            <w:r w:rsidRPr="00047FF7">
              <w:rPr>
                <w:rFonts w:hint="eastAsia"/>
                <w:szCs w:val="21"/>
              </w:rPr>
              <w:t>编</w:t>
            </w:r>
          </w:p>
        </w:tc>
        <w:tc>
          <w:tcPr>
            <w:tcW w:w="2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4910" w:rsidTr="005A5551">
        <w:trPr>
          <w:cantSplit/>
          <w:trHeight w:val="85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F04910" w:rsidP="005A5551">
            <w:pPr>
              <w:jc w:val="center"/>
              <w:rPr>
                <w:szCs w:val="21"/>
              </w:rPr>
            </w:pPr>
            <w:r w:rsidRPr="00047FF7">
              <w:rPr>
                <w:rFonts w:hint="eastAsia"/>
                <w:szCs w:val="21"/>
              </w:rPr>
              <w:t>公司性质</w:t>
            </w:r>
          </w:p>
        </w:tc>
        <w:tc>
          <w:tcPr>
            <w:tcW w:w="83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Default="00F04910" w:rsidP="005A555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□国有企业          □民营/私营企业         □外商独资企业</w:t>
            </w:r>
          </w:p>
          <w:p w:rsidR="00F04910" w:rsidRDefault="00F04910" w:rsidP="005A5551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□中外合资企业      □政府部门和事业单位    □其他(请注明)</w:t>
            </w:r>
            <w:r w:rsidRPr="003C7134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      </w:t>
            </w:r>
            <w:r w:rsidRPr="003C7134">
              <w:rPr>
                <w:rFonts w:ascii="宋体" w:hAnsi="宋体" w:hint="eastAsia"/>
                <w:u w:val="single"/>
              </w:rPr>
              <w:t xml:space="preserve">    </w:t>
            </w:r>
          </w:p>
        </w:tc>
      </w:tr>
      <w:tr w:rsidR="00F04910" w:rsidRPr="004F11B8" w:rsidTr="005A5551">
        <w:trPr>
          <w:cantSplit/>
          <w:trHeight w:val="484"/>
        </w:trPr>
        <w:tc>
          <w:tcPr>
            <w:tcW w:w="13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E661A5" w:rsidRDefault="00F04910" w:rsidP="005A5551">
            <w:pPr>
              <w:jc w:val="center"/>
              <w:rPr>
                <w:rFonts w:ascii="宋体" w:hAnsi="宋体"/>
                <w:szCs w:val="21"/>
              </w:rPr>
            </w:pPr>
            <w:r w:rsidRPr="00E661A5">
              <w:rPr>
                <w:rFonts w:hint="eastAsia"/>
                <w:szCs w:val="21"/>
              </w:rPr>
              <w:t>所属行业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99166D" w:rsidRDefault="00F04910" w:rsidP="005A555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99166D">
              <w:rPr>
                <w:rFonts w:ascii="宋体" w:hAnsi="宋体" w:hint="eastAsia"/>
                <w:szCs w:val="21"/>
              </w:rPr>
              <w:t>□制造业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9166D">
              <w:rPr>
                <w:rFonts w:ascii="宋体" w:hAnsi="宋体" w:hint="eastAsia"/>
                <w:szCs w:val="21"/>
              </w:rPr>
              <w:t>□金融投资</w:t>
            </w:r>
          </w:p>
          <w:p w:rsidR="00F04910" w:rsidRPr="00E661A5" w:rsidRDefault="00F04910" w:rsidP="005A5551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99166D">
              <w:rPr>
                <w:rFonts w:ascii="宋体" w:hAnsi="宋体" w:hint="eastAsia"/>
                <w:szCs w:val="21"/>
              </w:rPr>
              <w:t>□贸易、服务业□房地产建筑      □信息、通讯  其他_______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FF7314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F7314">
              <w:rPr>
                <w:rFonts w:ascii="宋体" w:hAnsi="宋体" w:hint="eastAsia"/>
                <w:szCs w:val="21"/>
              </w:rPr>
              <w:t>企业</w:t>
            </w:r>
          </w:p>
          <w:p w:rsidR="00F04910" w:rsidRPr="00FF7314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F7314">
              <w:rPr>
                <w:rFonts w:ascii="宋体" w:hAnsi="宋体" w:hint="eastAsia"/>
                <w:szCs w:val="21"/>
              </w:rPr>
              <w:t>年销售额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FF7314" w:rsidRDefault="00F04910" w:rsidP="005A555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F04910" w:rsidRPr="00FF7314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FF7314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F7314">
              <w:rPr>
                <w:rFonts w:ascii="宋体" w:hAnsi="宋体" w:hint="eastAsia"/>
                <w:szCs w:val="21"/>
              </w:rPr>
              <w:t>企业</w:t>
            </w:r>
          </w:p>
          <w:p w:rsidR="00F04910" w:rsidRPr="00FF7314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F7314">
              <w:rPr>
                <w:rFonts w:ascii="宋体" w:hAnsi="宋体" w:hint="eastAsia"/>
                <w:szCs w:val="21"/>
              </w:rPr>
              <w:t>员工人数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Pr="00FF7314" w:rsidRDefault="00F04910" w:rsidP="005A5551">
            <w:pPr>
              <w:spacing w:line="320" w:lineRule="exact"/>
              <w:ind w:left="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4910" w:rsidRDefault="00F04910" w:rsidP="005A5551">
            <w:pPr>
              <w:spacing w:line="320" w:lineRule="exact"/>
              <w:ind w:left="90"/>
              <w:jc w:val="center"/>
              <w:rPr>
                <w:szCs w:val="21"/>
              </w:rPr>
            </w:pPr>
            <w:r w:rsidRPr="00E661A5">
              <w:rPr>
                <w:rFonts w:hint="eastAsia"/>
                <w:szCs w:val="21"/>
              </w:rPr>
              <w:t>兴趣</w:t>
            </w:r>
          </w:p>
          <w:p w:rsidR="00F04910" w:rsidRPr="00E661A5" w:rsidRDefault="00F04910" w:rsidP="005A5551">
            <w:pPr>
              <w:spacing w:line="320" w:lineRule="exact"/>
              <w:ind w:left="90"/>
              <w:jc w:val="center"/>
              <w:rPr>
                <w:rFonts w:ascii="宋体" w:hAnsi="宋体"/>
                <w:szCs w:val="21"/>
              </w:rPr>
            </w:pPr>
            <w:r w:rsidRPr="00E661A5">
              <w:rPr>
                <w:rFonts w:hint="eastAsia"/>
                <w:szCs w:val="21"/>
              </w:rPr>
              <w:t>爱好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10" w:rsidRPr="00E661A5" w:rsidRDefault="00F04910" w:rsidP="005A55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4910" w:rsidTr="005A5551">
        <w:trPr>
          <w:cantSplit/>
          <w:trHeight w:val="363"/>
        </w:trPr>
        <w:tc>
          <w:tcPr>
            <w:tcW w:w="961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910" w:rsidRPr="00047FF7" w:rsidRDefault="00F04910" w:rsidP="005A5551">
            <w:pPr>
              <w:rPr>
                <w:rFonts w:ascii="宋体" w:hAnsi="宋体"/>
                <w:b/>
                <w:sz w:val="24"/>
              </w:rPr>
            </w:pPr>
            <w:r w:rsidRPr="00DA09D6">
              <w:rPr>
                <w:rFonts w:hint="eastAsia"/>
                <w:b/>
                <w:sz w:val="24"/>
              </w:rPr>
              <w:t>其他信息</w:t>
            </w:r>
          </w:p>
        </w:tc>
      </w:tr>
      <w:tr w:rsidR="00F04910" w:rsidTr="00E429D8">
        <w:trPr>
          <w:cantSplit/>
          <w:trHeight w:val="598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47FF7" w:rsidRDefault="00CC5703" w:rsidP="005A55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入学报道</w:t>
            </w:r>
            <w:r w:rsidR="00E429D8" w:rsidRPr="00075047">
              <w:rPr>
                <w:rFonts w:hint="eastAsia"/>
                <w:szCs w:val="21"/>
              </w:rPr>
              <w:t>资料</w:t>
            </w:r>
          </w:p>
        </w:tc>
        <w:tc>
          <w:tcPr>
            <w:tcW w:w="830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Pr="00414A46" w:rsidRDefault="00E429D8" w:rsidP="00E429D8">
            <w:pPr>
              <w:spacing w:line="320" w:lineRule="exact"/>
              <w:ind w:firstLineChars="50" w:firstLine="105"/>
              <w:rPr>
                <w:rFonts w:ascii="宋体" w:hAnsi="宋体"/>
              </w:rPr>
            </w:pPr>
            <w:r w:rsidRPr="00CC5703">
              <w:rPr>
                <w:rFonts w:ascii="宋体" w:hAnsi="宋体" w:hint="eastAsia"/>
                <w:color w:val="FF0000"/>
                <w:szCs w:val="21"/>
              </w:rPr>
              <w:t>★报名登记表 ★名片1张 ★身份证复印件1张 ★企业简介</w:t>
            </w:r>
            <w:r>
              <w:rPr>
                <w:rFonts w:ascii="宋体" w:hAnsi="宋体" w:hint="eastAsia"/>
                <w:szCs w:val="21"/>
              </w:rPr>
              <w:t xml:space="preserve"> ★营业执照副本复印件1</w:t>
            </w:r>
            <w:r w:rsidRPr="00075047">
              <w:rPr>
                <w:rFonts w:ascii="宋体" w:hAnsi="宋体" w:hint="eastAsia"/>
                <w:szCs w:val="21"/>
              </w:rPr>
              <w:t>张</w:t>
            </w:r>
          </w:p>
        </w:tc>
      </w:tr>
      <w:tr w:rsidR="00F04910" w:rsidRPr="008D28C9" w:rsidTr="005A5551">
        <w:trPr>
          <w:cantSplit/>
          <w:trHeight w:val="566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75047" w:rsidRDefault="00CC5703" w:rsidP="005A55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学习期望</w:t>
            </w:r>
          </w:p>
        </w:tc>
        <w:tc>
          <w:tcPr>
            <w:tcW w:w="83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Pr="00075047" w:rsidRDefault="00F04910" w:rsidP="005A5551">
            <w:pPr>
              <w:spacing w:line="32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F04910" w:rsidRPr="008D28C9" w:rsidTr="006B03FD">
        <w:trPr>
          <w:cantSplit/>
          <w:trHeight w:val="373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10" w:rsidRPr="00075047" w:rsidRDefault="00CC5703" w:rsidP="005A55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其他说明</w:t>
            </w:r>
          </w:p>
        </w:tc>
        <w:tc>
          <w:tcPr>
            <w:tcW w:w="830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910" w:rsidRPr="00926EA1" w:rsidRDefault="00F04910" w:rsidP="005A5551">
            <w:pPr>
              <w:spacing w:line="320" w:lineRule="exact"/>
              <w:ind w:firstLineChars="50" w:firstLine="105"/>
              <w:rPr>
                <w:rFonts w:ascii="宋体" w:hAnsi="宋体"/>
                <w:color w:val="0000FF"/>
                <w:szCs w:val="21"/>
              </w:rPr>
            </w:pPr>
            <w:r w:rsidRPr="00926EA1">
              <w:rPr>
                <w:rFonts w:ascii="宋体" w:hAnsi="宋体" w:hint="eastAsia"/>
                <w:color w:val="0000FF"/>
                <w:szCs w:val="21"/>
              </w:rPr>
              <w:t xml:space="preserve"> </w:t>
            </w:r>
          </w:p>
        </w:tc>
      </w:tr>
    </w:tbl>
    <w:p w:rsidR="00CC5703" w:rsidRDefault="00CC5703" w:rsidP="006B03FD">
      <w:pPr>
        <w:rPr>
          <w:rFonts w:ascii="宋体" w:hAnsi="宋体"/>
          <w:b/>
          <w:sz w:val="24"/>
        </w:rPr>
      </w:pPr>
    </w:p>
    <w:p w:rsidR="00804BD9" w:rsidRDefault="00F04910" w:rsidP="006B03FD">
      <w:pPr>
        <w:rPr>
          <w:rFonts w:ascii="宋体" w:hAnsi="宋体"/>
          <w:b/>
          <w:sz w:val="24"/>
          <w:u w:val="single"/>
        </w:rPr>
      </w:pPr>
      <w:r w:rsidRPr="00A03225">
        <w:rPr>
          <w:rFonts w:ascii="宋体" w:hAnsi="宋体" w:hint="eastAsia"/>
          <w:b/>
          <w:sz w:val="24"/>
        </w:rPr>
        <w:t>申请人签名：</w:t>
      </w:r>
      <w:r w:rsidRPr="00A03225">
        <w:rPr>
          <w:rFonts w:ascii="宋体" w:hAnsi="宋体" w:hint="eastAsia"/>
          <w:b/>
          <w:sz w:val="24"/>
          <w:u w:val="single"/>
        </w:rPr>
        <w:t xml:space="preserve">                         </w:t>
      </w:r>
      <w:r w:rsidRPr="00A03225">
        <w:rPr>
          <w:rFonts w:ascii="宋体" w:hAnsi="宋体" w:hint="eastAsia"/>
          <w:b/>
          <w:sz w:val="24"/>
        </w:rPr>
        <w:t xml:space="preserve">       日期：</w:t>
      </w:r>
      <w:r w:rsidRPr="00A03225">
        <w:rPr>
          <w:rFonts w:ascii="宋体" w:hAnsi="宋体" w:hint="eastAsia"/>
          <w:b/>
          <w:sz w:val="24"/>
          <w:u w:val="single"/>
        </w:rPr>
        <w:t xml:space="preserve">                  </w:t>
      </w:r>
    </w:p>
    <w:p w:rsidR="00CC5703" w:rsidRDefault="00CC5703" w:rsidP="006B03FD">
      <w:pPr>
        <w:rPr>
          <w:rFonts w:ascii="宋体" w:hAnsi="宋体"/>
          <w:b/>
          <w:sz w:val="24"/>
          <w:u w:val="single"/>
        </w:rPr>
      </w:pPr>
    </w:p>
    <w:p w:rsidR="00CC5703" w:rsidRPr="00CC5703" w:rsidRDefault="00CC5703" w:rsidP="006B03FD">
      <w:pPr>
        <w:rPr>
          <w:rFonts w:ascii="宋体" w:hAnsi="宋体"/>
          <w:sz w:val="24"/>
        </w:rPr>
      </w:pPr>
      <w:r w:rsidRPr="00CC5703">
        <w:rPr>
          <w:rFonts w:ascii="宋体" w:hAnsi="宋体" w:hint="eastAsia"/>
          <w:sz w:val="24"/>
        </w:rPr>
        <w:t>填好发送至</w:t>
      </w:r>
      <w:r w:rsidR="005D1D96">
        <w:rPr>
          <w:rFonts w:ascii="宋体" w:hAnsi="宋体" w:hint="eastAsia"/>
          <w:sz w:val="24"/>
        </w:rPr>
        <w:t>：</w:t>
      </w:r>
      <w:r w:rsidRPr="00CC5703">
        <w:rPr>
          <w:rFonts w:ascii="宋体" w:hAnsi="宋体" w:hint="eastAsia"/>
          <w:sz w:val="24"/>
        </w:rPr>
        <w:t>邮箱：</w:t>
      </w:r>
      <w:hyperlink r:id="rId18" w:history="1">
        <w:r w:rsidRPr="005D1D96">
          <w:rPr>
            <w:rFonts w:hint="eastAsia"/>
            <w:color w:val="4F81BD" w:themeColor="accent1"/>
          </w:rPr>
          <w:t>pkubiz@126.com</w:t>
        </w:r>
      </w:hyperlink>
      <w:r w:rsidRPr="00CC5703">
        <w:rPr>
          <w:rFonts w:ascii="宋体" w:hAnsi="宋体" w:hint="eastAsia"/>
          <w:sz w:val="24"/>
        </w:rPr>
        <w:t xml:space="preserve"> 或微信</w:t>
      </w:r>
      <w:r w:rsidRPr="005D1D96">
        <w:rPr>
          <w:rFonts w:ascii="宋体" w:hAnsi="宋体" w:hint="eastAsia"/>
          <w:color w:val="4F81BD" w:themeColor="accent1"/>
          <w:sz w:val="24"/>
        </w:rPr>
        <w:t>13120255228</w:t>
      </w:r>
      <w:r w:rsidRPr="005D1D96">
        <w:rPr>
          <w:rFonts w:ascii="宋体" w:hAnsi="宋体" w:hint="eastAsia"/>
          <w:sz w:val="24"/>
        </w:rPr>
        <w:t xml:space="preserve"> </w:t>
      </w:r>
      <w:r w:rsidRPr="00CC5703">
        <w:rPr>
          <w:rFonts w:ascii="宋体" w:hAnsi="宋体" w:hint="eastAsia"/>
          <w:sz w:val="24"/>
        </w:rPr>
        <w:t>即可</w:t>
      </w:r>
    </w:p>
    <w:sectPr w:rsidR="00CC5703" w:rsidRPr="00CC5703" w:rsidSect="00A728A2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07E" w:rsidRDefault="00C8707E" w:rsidP="00A728A2">
      <w:r>
        <w:separator/>
      </w:r>
    </w:p>
  </w:endnote>
  <w:endnote w:type="continuationSeparator" w:id="0">
    <w:p w:rsidR="00C8707E" w:rsidRDefault="00C8707E" w:rsidP="00A7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3239"/>
    </w:sdtPr>
    <w:sdtContent>
      <w:p w:rsidR="00A728A2" w:rsidRDefault="00642473">
        <w:pPr>
          <w:pStyle w:val="a4"/>
          <w:jc w:val="right"/>
        </w:pPr>
        <w:r>
          <w:rPr>
            <w:rFonts w:ascii="微软雅黑" w:eastAsia="微软雅黑" w:hAnsi="微软雅黑" w:hint="eastAsia"/>
            <w:sz w:val="21"/>
            <w:szCs w:val="21"/>
          </w:rPr>
          <w:t xml:space="preserve">BEIFENG </w:t>
        </w:r>
        <w:r w:rsidR="00682D2C">
          <w:rPr>
            <w:rFonts w:ascii="微软雅黑" w:eastAsia="微软雅黑" w:hAnsi="微软雅黑"/>
            <w:sz w:val="21"/>
            <w:szCs w:val="21"/>
          </w:rPr>
          <w:fldChar w:fldCharType="begin"/>
        </w:r>
        <w:r>
          <w:rPr>
            <w:rFonts w:ascii="微软雅黑" w:eastAsia="微软雅黑" w:hAnsi="微软雅黑"/>
            <w:sz w:val="21"/>
            <w:szCs w:val="21"/>
          </w:rPr>
          <w:instrText xml:space="preserve"> PAGE   \* MERGEFORMAT </w:instrText>
        </w:r>
        <w:r w:rsidR="00682D2C">
          <w:rPr>
            <w:rFonts w:ascii="微软雅黑" w:eastAsia="微软雅黑" w:hAnsi="微软雅黑"/>
            <w:sz w:val="21"/>
            <w:szCs w:val="21"/>
          </w:rPr>
          <w:fldChar w:fldCharType="separate"/>
        </w:r>
        <w:r w:rsidR="00DB7B27" w:rsidRPr="00DB7B27">
          <w:rPr>
            <w:rFonts w:ascii="微软雅黑" w:eastAsia="微软雅黑" w:hAnsi="微软雅黑"/>
            <w:noProof/>
            <w:sz w:val="21"/>
            <w:szCs w:val="21"/>
            <w:lang w:val="zh-CN"/>
          </w:rPr>
          <w:t>7</w:t>
        </w:r>
        <w:r w:rsidR="00682D2C">
          <w:rPr>
            <w:rFonts w:ascii="微软雅黑" w:eastAsia="微软雅黑" w:hAnsi="微软雅黑"/>
            <w:sz w:val="21"/>
            <w:szCs w:val="21"/>
          </w:rPr>
          <w:fldChar w:fldCharType="end"/>
        </w:r>
      </w:p>
    </w:sdtContent>
  </w:sdt>
  <w:p w:rsidR="00A728A2" w:rsidRDefault="00A728A2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07E" w:rsidRDefault="00C8707E" w:rsidP="00A728A2">
      <w:r>
        <w:separator/>
      </w:r>
    </w:p>
  </w:footnote>
  <w:footnote w:type="continuationSeparator" w:id="0">
    <w:p w:rsidR="00C8707E" w:rsidRDefault="00C8707E" w:rsidP="00A7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C8" w:rsidRDefault="005F586A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-654685</wp:posOffset>
          </wp:positionV>
          <wp:extent cx="6019800" cy="1438275"/>
          <wp:effectExtent l="19050" t="0" r="0" b="0"/>
          <wp:wrapNone/>
          <wp:docPr id="12" name="图片 2" descr="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65C8" w:rsidRDefault="008E65C8" w:rsidP="008E65C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BDF"/>
    <w:rsid w:val="00004FCF"/>
    <w:rsid w:val="00006FE3"/>
    <w:rsid w:val="00026DEE"/>
    <w:rsid w:val="00051058"/>
    <w:rsid w:val="0011696F"/>
    <w:rsid w:val="00142CDD"/>
    <w:rsid w:val="00175CF3"/>
    <w:rsid w:val="001B5DCF"/>
    <w:rsid w:val="001F5B8F"/>
    <w:rsid w:val="002173C2"/>
    <w:rsid w:val="00241C2B"/>
    <w:rsid w:val="00297516"/>
    <w:rsid w:val="002B24C8"/>
    <w:rsid w:val="002D29C9"/>
    <w:rsid w:val="002E4007"/>
    <w:rsid w:val="00316DCF"/>
    <w:rsid w:val="00336FFD"/>
    <w:rsid w:val="00341FDB"/>
    <w:rsid w:val="003962B1"/>
    <w:rsid w:val="003A2841"/>
    <w:rsid w:val="003B69B4"/>
    <w:rsid w:val="003F363F"/>
    <w:rsid w:val="00402966"/>
    <w:rsid w:val="004373F1"/>
    <w:rsid w:val="00476CE7"/>
    <w:rsid w:val="004839AB"/>
    <w:rsid w:val="00492FAA"/>
    <w:rsid w:val="004B4533"/>
    <w:rsid w:val="00503F33"/>
    <w:rsid w:val="0054206E"/>
    <w:rsid w:val="00550F47"/>
    <w:rsid w:val="005545A6"/>
    <w:rsid w:val="005703B2"/>
    <w:rsid w:val="005B0AC7"/>
    <w:rsid w:val="005D1D96"/>
    <w:rsid w:val="005D3A07"/>
    <w:rsid w:val="005F586A"/>
    <w:rsid w:val="00613357"/>
    <w:rsid w:val="0063537E"/>
    <w:rsid w:val="00642473"/>
    <w:rsid w:val="006562E5"/>
    <w:rsid w:val="00662D17"/>
    <w:rsid w:val="00674EB1"/>
    <w:rsid w:val="00682D2C"/>
    <w:rsid w:val="006917C4"/>
    <w:rsid w:val="006B03FD"/>
    <w:rsid w:val="006F3838"/>
    <w:rsid w:val="00733100"/>
    <w:rsid w:val="007420C3"/>
    <w:rsid w:val="007530D7"/>
    <w:rsid w:val="0075725E"/>
    <w:rsid w:val="007A46C3"/>
    <w:rsid w:val="00803B3F"/>
    <w:rsid w:val="00804BD9"/>
    <w:rsid w:val="00810DDF"/>
    <w:rsid w:val="00830FBE"/>
    <w:rsid w:val="00835D54"/>
    <w:rsid w:val="00843BD6"/>
    <w:rsid w:val="0084692D"/>
    <w:rsid w:val="00877588"/>
    <w:rsid w:val="008B05E4"/>
    <w:rsid w:val="008E347B"/>
    <w:rsid w:val="008E46C6"/>
    <w:rsid w:val="008E65C8"/>
    <w:rsid w:val="008F0D29"/>
    <w:rsid w:val="008F3677"/>
    <w:rsid w:val="00931483"/>
    <w:rsid w:val="00986F12"/>
    <w:rsid w:val="00990952"/>
    <w:rsid w:val="00993DFE"/>
    <w:rsid w:val="009B1BF3"/>
    <w:rsid w:val="00A05BDF"/>
    <w:rsid w:val="00A3011A"/>
    <w:rsid w:val="00A43CB5"/>
    <w:rsid w:val="00A728A2"/>
    <w:rsid w:val="00AA6655"/>
    <w:rsid w:val="00B06769"/>
    <w:rsid w:val="00B22965"/>
    <w:rsid w:val="00B3019D"/>
    <w:rsid w:val="00B47603"/>
    <w:rsid w:val="00B5089C"/>
    <w:rsid w:val="00B51B73"/>
    <w:rsid w:val="00B53E7B"/>
    <w:rsid w:val="00B6139C"/>
    <w:rsid w:val="00B64FBE"/>
    <w:rsid w:val="00B67E3A"/>
    <w:rsid w:val="00B8064D"/>
    <w:rsid w:val="00B94E4E"/>
    <w:rsid w:val="00BB1255"/>
    <w:rsid w:val="00BC1ED7"/>
    <w:rsid w:val="00BC746B"/>
    <w:rsid w:val="00BE1A37"/>
    <w:rsid w:val="00BF3AC9"/>
    <w:rsid w:val="00C17F1E"/>
    <w:rsid w:val="00C35A53"/>
    <w:rsid w:val="00C658F7"/>
    <w:rsid w:val="00C76D0D"/>
    <w:rsid w:val="00C77B97"/>
    <w:rsid w:val="00C82296"/>
    <w:rsid w:val="00C8707E"/>
    <w:rsid w:val="00C92850"/>
    <w:rsid w:val="00C97119"/>
    <w:rsid w:val="00CA5C0D"/>
    <w:rsid w:val="00CB1F71"/>
    <w:rsid w:val="00CC5703"/>
    <w:rsid w:val="00CF3F8C"/>
    <w:rsid w:val="00D014D9"/>
    <w:rsid w:val="00D166A8"/>
    <w:rsid w:val="00D25CFF"/>
    <w:rsid w:val="00D26A4A"/>
    <w:rsid w:val="00D41A5F"/>
    <w:rsid w:val="00D61961"/>
    <w:rsid w:val="00D96841"/>
    <w:rsid w:val="00DA357C"/>
    <w:rsid w:val="00DA5FDA"/>
    <w:rsid w:val="00DA7299"/>
    <w:rsid w:val="00DB7B27"/>
    <w:rsid w:val="00DC6F1C"/>
    <w:rsid w:val="00DD2DB6"/>
    <w:rsid w:val="00DD5D57"/>
    <w:rsid w:val="00DD657C"/>
    <w:rsid w:val="00E22012"/>
    <w:rsid w:val="00E23306"/>
    <w:rsid w:val="00E429D8"/>
    <w:rsid w:val="00E60C7C"/>
    <w:rsid w:val="00E835FD"/>
    <w:rsid w:val="00EB076B"/>
    <w:rsid w:val="00EB37B1"/>
    <w:rsid w:val="00F04910"/>
    <w:rsid w:val="00F31DCC"/>
    <w:rsid w:val="00F44B4A"/>
    <w:rsid w:val="00F47574"/>
    <w:rsid w:val="00F51232"/>
    <w:rsid w:val="00F54B90"/>
    <w:rsid w:val="00F9154B"/>
    <w:rsid w:val="00FD2809"/>
    <w:rsid w:val="00FE56CF"/>
    <w:rsid w:val="224E698E"/>
    <w:rsid w:val="3F2131B2"/>
    <w:rsid w:val="436B4354"/>
    <w:rsid w:val="56FE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Contemporary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72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2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2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Contemporary"/>
    <w:basedOn w:val="a1"/>
    <w:qFormat/>
    <w:rsid w:val="00A728A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Char1">
    <w:name w:val="页眉 Char"/>
    <w:basedOn w:val="a0"/>
    <w:link w:val="a5"/>
    <w:uiPriority w:val="99"/>
    <w:qFormat/>
    <w:rsid w:val="00A728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28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28A2"/>
    <w:rPr>
      <w:sz w:val="18"/>
      <w:szCs w:val="18"/>
    </w:rPr>
  </w:style>
  <w:style w:type="paragraph" w:customStyle="1" w:styleId="xl38">
    <w:name w:val="xl38"/>
    <w:basedOn w:val="a"/>
    <w:rsid w:val="00F04910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C57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pkubiz@126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2"/>
    <customShpInfo spid="_x0000_s2061"/>
    <customShpInfo spid="_x0000_s2066"/>
    <customShpInfo spid="_x0000_s2065"/>
    <customShpInfo spid="_x0000_s2070"/>
    <customShpInfo spid="_x0000_s2069"/>
    <customShpInfo spid="_x0000_s2073"/>
    <customShpInfo spid="_x0000_s2074"/>
    <customShpInfo spid="_x0000_s2078"/>
    <customShpInfo spid="_x0000_s2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LIANG</cp:lastModifiedBy>
  <cp:revision>50</cp:revision>
  <cp:lastPrinted>2018-12-21T06:01:00Z</cp:lastPrinted>
  <dcterms:created xsi:type="dcterms:W3CDTF">2017-12-05T02:10:00Z</dcterms:created>
  <dcterms:modified xsi:type="dcterms:W3CDTF">2019-01-20T05:56:00Z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